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августа 2012 г. N 336-нп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КОММУНАЛЬНОЙ УСЛУГИ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ЭЛЕКТРОСНАБЖЕНИЮ В ЖИЛЫХ ПОМЕЩЕНИЯХ ПРИ ОТСУТСТВИИ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ПРИБОРОВ УЧЕТА ДЛЯ ПОТРЕБИТЕЛЕЙ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</w:t>
      </w:r>
      <w:proofErr w:type="gramEnd"/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30.08.2012 N 355-нп)</w:t>
      </w:r>
    </w:p>
    <w:bookmarkEnd w:id="0"/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Жилищным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управлении</w:t>
      </w:r>
      <w:proofErr w:type="gramEnd"/>
      <w:r>
        <w:rPr>
          <w:rFonts w:ascii="Calibri" w:hAnsi="Calibri" w:cs="Calibri"/>
        </w:rPr>
        <w:t xml:space="preserve"> "Региональная энергетическая комиссиям Тверской области" и решением Правления Главного управления "Региональная энергетическая комиссия" Тверской области от 23 августа 2012 года приказываю;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электроснабжению в жилых помещениях при отсутствии индивидуальных приборов учета для потребителей Тверской области, определенные расчетным методом, согласно приложению.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 от 30.08.2012 N 355-нп)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Региональной энергетической комиссии Тверской области от 26.02.2010 N 81-нп "О нормативах потребления электрической энергии".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услуги, указанные в приложении настоящего Приказа, действуют с 01.09.2012 по 01.09.2015.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подлежит официальному опубликованию.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августа 2012 г. N 336-нп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Нормативы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электроснабжению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жилых помещениях при отсутствии индивидуальных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приборов учета для потребителей Тверской области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Для жилых помещений, оборудованных газовыми плитами: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gramEnd"/>
      <w:r>
        <w:rPr>
          <w:rFonts w:ascii="Calibri" w:hAnsi="Calibri" w:cs="Calibri"/>
        </w:rPr>
        <w:t>/чел./мес.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1680"/>
        <w:gridCol w:w="1680"/>
        <w:gridCol w:w="1680"/>
        <w:gridCol w:w="1560"/>
      </w:tblGrid>
      <w:tr w:rsidR="006523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комнат 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проживающих (зарегистрированных) человек  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95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37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123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139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47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и более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93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59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51    </w:t>
            </w:r>
          </w:p>
        </w:tc>
      </w:tr>
    </w:tbl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Для жилых помещений, оборудованных стационарными электрическими плитами: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gramEnd"/>
      <w:r>
        <w:rPr>
          <w:rFonts w:ascii="Calibri" w:hAnsi="Calibri" w:cs="Calibri"/>
        </w:rPr>
        <w:t>/чел./мес.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1680"/>
        <w:gridCol w:w="1680"/>
        <w:gridCol w:w="1560"/>
        <w:gridCol w:w="1560"/>
      </w:tblGrid>
      <w:tr w:rsidR="0065237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комнат 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проживающих (зарегистрированных) человек  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91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70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57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172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107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59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117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90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64    </w:t>
            </w:r>
          </w:p>
        </w:tc>
      </w:tr>
      <w:tr w:rsidR="006523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и более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78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7E" w:rsidRDefault="006523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68    </w:t>
            </w:r>
          </w:p>
        </w:tc>
      </w:tr>
    </w:tbl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Данные нормативы потребления электрической энергии применяются для определения размера платы за электрическую энергию в многоквартирных и жилых домах при отсутствии индивидуальных, общих (квартирных) приборов учета в случаях,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  <w:proofErr w:type="gramEnd"/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Нормативы потребления коммунальной услуги по электроснабжению распространяются на общежития и коммунальные квартиры.</w:t>
      </w: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237E" w:rsidRDefault="006523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237E" w:rsidRDefault="0065237E"/>
    <w:sectPr w:rsidR="0065237E" w:rsidSect="005E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E"/>
    <w:rsid w:val="006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23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23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CCE01B37DFDA4FEDC00FB990310136B4F7E5659B810350EC817D0B7e42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CCE01B37DFDA4FEDC00FB990310136B4E7B5759BC10350EC817D0B7e42FL" TargetMode="External"/><Relationship Id="rId12" Type="http://schemas.openxmlformats.org/officeDocument/2006/relationships/hyperlink" Target="consultantplus://offline/ref=D43CCE01B37DFDA4FEDC00FB990310136B4F7E5659B810350EC817D0B74FA5E1EBBCF42A7950C51Ce72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CCE01B37DFDA4FEDC00FB990310136B4E7A5156B410350EC817D0B74FA5E1EBBCF42A7950CC1Ce727L" TargetMode="External"/><Relationship Id="rId11" Type="http://schemas.openxmlformats.org/officeDocument/2006/relationships/hyperlink" Target="consultantplus://offline/ref=D43CCE01B37DFDA4FEDC1EF68F6F4A1D6C41205B52B91D6151974C8DE046AFB6eA2CL" TargetMode="External"/><Relationship Id="rId5" Type="http://schemas.openxmlformats.org/officeDocument/2006/relationships/hyperlink" Target="consultantplus://offline/ref=D43CCE01B37DFDA4FEDC1EF68F6F4A1D6C41205B54BC196153974C8DE046AFB6ACF3AD683D5DC41F719ADAe72BL" TargetMode="External"/><Relationship Id="rId10" Type="http://schemas.openxmlformats.org/officeDocument/2006/relationships/hyperlink" Target="consultantplus://offline/ref=D43CCE01B37DFDA4FEDC1EF68F6F4A1D6C41205B54BC196153974C8DE046AFB6ACF3AD683D5DC41F719ADAe72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CCE01B37DFDA4FEDC1EF68F6F4A1D6C41205B54BB1E6053974C8DE046AFB6eA2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2013-08-12T11:54:00Z</dcterms:created>
  <dcterms:modified xsi:type="dcterms:W3CDTF">2013-08-12T11:55:00Z</dcterms:modified>
</cp:coreProperties>
</file>